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F72511" w:rsidRPr="00F72511" w:rsidRDefault="00F72511" w:rsidP="00F72511">
      <w:pPr>
        <w:rPr>
          <w:b/>
          <w:bCs/>
          <w:lang w:val="en-US"/>
        </w:rPr>
      </w:pPr>
      <w:r w:rsidRPr="00F72511">
        <w:rPr>
          <w:b/>
          <w:bCs/>
          <w:lang w:val="en-US"/>
        </w:rPr>
        <w:t>Europe and the Great Recession: is it a crisis wasted?</w:t>
      </w:r>
    </w:p>
    <w:p w:rsidR="00F72511" w:rsidRPr="00F72511" w:rsidRDefault="00F72511" w:rsidP="00F72511">
      <w:proofErr w:type="gramStart"/>
      <w:r w:rsidRPr="00F72511">
        <w:t>Publié:</w:t>
      </w:r>
      <w:proofErr w:type="gramEnd"/>
      <w:r w:rsidRPr="00F72511">
        <w:t xml:space="preserve"> 10 décembre 2015, 12:01 CET</w:t>
      </w:r>
    </w:p>
    <w:p w:rsidR="00F72511" w:rsidRPr="00F72511" w:rsidRDefault="00F72511" w:rsidP="00F72511">
      <w:pPr>
        <w:rPr>
          <w:b/>
          <w:bCs/>
        </w:rPr>
      </w:pPr>
      <w:r w:rsidRPr="00F72511">
        <w:rPr>
          <w:b/>
          <w:bCs/>
        </w:rPr>
        <w:t>Auteurs</w:t>
      </w:r>
    </w:p>
    <w:p w:rsidR="00F72511" w:rsidRPr="00F72511" w:rsidRDefault="00F72511" w:rsidP="00F72511">
      <w:pPr>
        <w:numPr>
          <w:ilvl w:val="0"/>
          <w:numId w:val="1"/>
        </w:numPr>
      </w:pPr>
      <w:hyperlink r:id="rId5" w:history="1">
        <w:r w:rsidRPr="00F72511">
          <w:rPr>
            <w:rStyle w:val="Lienhypertexte"/>
            <w:b/>
            <w:bCs/>
          </w:rPr>
          <w:fldChar w:fldCharType="begin"/>
        </w:r>
        <w:r w:rsidRPr="00F72511">
          <w:rPr>
            <w:rStyle w:val="Lienhypertexte"/>
            <w:b/>
            <w:bCs/>
          </w:rPr>
          <w:instrText xml:space="preserve"> INCLUDEPICTURE "https://cdn.theconversation.com/avatars/211545/width170/gemma_t.jpg" \* MERGEFORMATINET </w:instrText>
        </w:r>
        <w:r w:rsidRPr="00F72511">
          <w:rPr>
            <w:rStyle w:val="Lienhypertexte"/>
            <w:b/>
            <w:bCs/>
          </w:rPr>
          <w:fldChar w:fldCharType="separate"/>
        </w:r>
        <w:r w:rsidRPr="00F72511">
          <w:rPr>
            <w:rStyle w:val="Lienhypertexte"/>
            <w:b/>
            <w:bCs/>
            <w:noProof/>
          </w:rPr>
          <w:drawing>
            <wp:inline distT="0" distB="0" distL="0" distR="0">
              <wp:extent cx="2159000" cy="2159000"/>
              <wp:effectExtent l="0" t="0" r="0" b="0"/>
              <wp:docPr id="410452777" name="Image 18">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F72511">
          <w:rPr>
            <w:rStyle w:val="Lienhypertexte"/>
          </w:rPr>
          <w:fldChar w:fldCharType="end"/>
        </w:r>
        <w:r w:rsidRPr="00F72511">
          <w:rPr>
            <w:rStyle w:val="Lienhypertexte"/>
            <w:b/>
            <w:bCs/>
          </w:rPr>
          <w:t xml:space="preserve">Gemma </w:t>
        </w:r>
        <w:proofErr w:type="spellStart"/>
        <w:r w:rsidRPr="00F72511">
          <w:rPr>
            <w:rStyle w:val="Lienhypertexte"/>
            <w:b/>
            <w:bCs/>
          </w:rPr>
          <w:t>Tetlow</w:t>
        </w:r>
        <w:proofErr w:type="spellEnd"/>
      </w:hyperlink>
    </w:p>
    <w:p w:rsidR="00F72511" w:rsidRPr="00F72511" w:rsidRDefault="00F72511" w:rsidP="00F72511">
      <w:pPr>
        <w:rPr>
          <w:lang w:val="en-US"/>
        </w:rPr>
      </w:pPr>
      <w:proofErr w:type="spellStart"/>
      <w:r w:rsidRPr="00F72511">
        <w:rPr>
          <w:lang w:val="en-US"/>
        </w:rPr>
        <w:t>Programme</w:t>
      </w:r>
      <w:proofErr w:type="spellEnd"/>
      <w:r w:rsidRPr="00F72511">
        <w:rPr>
          <w:lang w:val="en-US"/>
        </w:rPr>
        <w:t xml:space="preserve"> Director for pensions, saving and public finances at the Institute for Fiscal Studies and PhD Researcher, UCL</w:t>
      </w:r>
    </w:p>
    <w:p w:rsidR="00F72511" w:rsidRPr="00F72511" w:rsidRDefault="00F72511" w:rsidP="00F72511">
      <w:pPr>
        <w:numPr>
          <w:ilvl w:val="0"/>
          <w:numId w:val="1"/>
        </w:numPr>
      </w:pPr>
      <w:hyperlink r:id="rId7" w:history="1">
        <w:r w:rsidRPr="00F72511">
          <w:rPr>
            <w:rStyle w:val="Lienhypertexte"/>
            <w:b/>
            <w:bCs/>
          </w:rPr>
          <w:fldChar w:fldCharType="begin"/>
        </w:r>
        <w:r w:rsidRPr="00F72511">
          <w:rPr>
            <w:rStyle w:val="Lienhypertexte"/>
            <w:b/>
            <w:bCs/>
          </w:rPr>
          <w:instrText xml:space="preserve"> INCLUDEPICTURE "https://cdn.theconversation.com/avatars/173527/width170/emmer.jpg" \* MERGEFORMATINET </w:instrText>
        </w:r>
        <w:r w:rsidRPr="00F72511">
          <w:rPr>
            <w:rStyle w:val="Lienhypertexte"/>
            <w:b/>
            <w:bCs/>
          </w:rPr>
          <w:fldChar w:fldCharType="separate"/>
        </w:r>
        <w:r w:rsidRPr="00F72511">
          <w:rPr>
            <w:rStyle w:val="Lienhypertexte"/>
            <w:b/>
            <w:bCs/>
            <w:noProof/>
          </w:rPr>
          <w:drawing>
            <wp:inline distT="0" distB="0" distL="0" distR="0">
              <wp:extent cx="2159000" cy="2159000"/>
              <wp:effectExtent l="0" t="0" r="0" b="0"/>
              <wp:docPr id="426945065" name="Image 1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F72511">
          <w:rPr>
            <w:rStyle w:val="Lienhypertexte"/>
          </w:rPr>
          <w:fldChar w:fldCharType="end"/>
        </w:r>
        <w:r w:rsidRPr="00F72511">
          <w:rPr>
            <w:rStyle w:val="Lienhypertexte"/>
            <w:b/>
            <w:bCs/>
          </w:rPr>
          <w:t xml:space="preserve">Carl </w:t>
        </w:r>
        <w:proofErr w:type="spellStart"/>
        <w:r w:rsidRPr="00F72511">
          <w:rPr>
            <w:rStyle w:val="Lienhypertexte"/>
            <w:b/>
            <w:bCs/>
          </w:rPr>
          <w:t>Emmerson</w:t>
        </w:r>
        <w:proofErr w:type="spellEnd"/>
      </w:hyperlink>
    </w:p>
    <w:p w:rsidR="00F72511" w:rsidRPr="00F72511" w:rsidRDefault="00F72511" w:rsidP="00F72511">
      <w:pPr>
        <w:rPr>
          <w:lang w:val="en-US"/>
        </w:rPr>
      </w:pPr>
      <w:r w:rsidRPr="00F72511">
        <w:rPr>
          <w:lang w:val="en-US"/>
        </w:rPr>
        <w:t>Deputy Director, Institute for Fiscal Studies</w:t>
      </w:r>
    </w:p>
    <w:p w:rsidR="00F72511" w:rsidRPr="00F72511" w:rsidRDefault="00F72511" w:rsidP="00F72511">
      <w:pPr>
        <w:rPr>
          <w:lang w:val="en-US"/>
        </w:rPr>
      </w:pPr>
      <w:r w:rsidRPr="00F72511">
        <w:rPr>
          <w:lang w:val="en-US"/>
        </w:rPr>
        <w:t>https://theconversation.com/europe-and-the-great-recession-is-it-a-crisis-wasted-5194</w:t>
      </w:r>
    </w:p>
    <w:p w:rsidR="00F72511" w:rsidRPr="00F72511" w:rsidRDefault="00F72511" w:rsidP="00F72511">
      <w:r w:rsidRPr="00F72511">
        <w:lastRenderedPageBreak/>
        <w:fldChar w:fldCharType="begin"/>
      </w:r>
      <w:r w:rsidRPr="00F72511">
        <w:instrText xml:space="preserve"> INCLUDEPICTURE "/Users/laurence.collaud/Library/Group Containers/UBF8T346G9.ms/WebArchiveCopyPasteTempFiles/com.microsoft.Word/image-20151210-7467-14vuz27.jpg?ixlib=rb-4.1.0&amp;q=45&amp;auto=format&amp;w=926&amp;fit=clip" \* MERGEFORMATINET </w:instrText>
      </w:r>
      <w:r w:rsidRPr="00F72511">
        <w:fldChar w:fldCharType="separate"/>
      </w:r>
      <w:r w:rsidRPr="00F72511">
        <w:rPr>
          <w:noProof/>
        </w:rPr>
        <w:drawing>
          <wp:inline distT="0" distB="0" distL="0" distR="0">
            <wp:extent cx="5760720" cy="3844925"/>
            <wp:effectExtent l="0" t="0" r="5080" b="3175"/>
            <wp:docPr id="1602501932"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844925"/>
                    </a:xfrm>
                    <a:prstGeom prst="rect">
                      <a:avLst/>
                    </a:prstGeom>
                    <a:noFill/>
                    <a:ln>
                      <a:noFill/>
                    </a:ln>
                  </pic:spPr>
                </pic:pic>
              </a:graphicData>
            </a:graphic>
          </wp:inline>
        </w:drawing>
      </w:r>
      <w:r w:rsidRPr="00F72511">
        <w:fldChar w:fldCharType="end"/>
      </w:r>
    </w:p>
    <w:p w:rsidR="00F72511" w:rsidRDefault="00F72511" w:rsidP="00F72511">
      <w:r w:rsidRPr="00F72511">
        <w:rPr>
          <w:lang w:val="en-US"/>
        </w:rPr>
        <w:t>Pulling apart the European crisis response. </w:t>
      </w:r>
      <w:r w:rsidRPr="00F72511">
        <w:t>REUTERS/</w:t>
      </w:r>
      <w:proofErr w:type="spellStart"/>
      <w:r w:rsidRPr="00F72511">
        <w:t>Francois</w:t>
      </w:r>
      <w:proofErr w:type="spellEnd"/>
      <w:r w:rsidRPr="00F72511">
        <w:t xml:space="preserve"> Lenoir</w:t>
      </w:r>
    </w:p>
    <w:p w:rsidR="00FD25C3" w:rsidRPr="00F72511" w:rsidRDefault="00FD25C3" w:rsidP="00F72511"/>
    <w:p w:rsidR="00F72511" w:rsidRPr="00F72511" w:rsidRDefault="00F72511" w:rsidP="00F72511">
      <w:pPr>
        <w:rPr>
          <w:lang w:val="en-US"/>
        </w:rPr>
      </w:pPr>
      <w:r w:rsidRPr="00F72511">
        <w:rPr>
          <w:lang w:val="en-US"/>
        </w:rPr>
        <w:t>It is a common refrain of political strategists that you should not let a good crisis go to waste. Seven years on from the beginnings of the global financial crisis, we can make an assessment of whether that maxim was followed.</w:t>
      </w:r>
    </w:p>
    <w:p w:rsidR="00F72511" w:rsidRDefault="00F72511" w:rsidP="00F72511">
      <w:pPr>
        <w:rPr>
          <w:lang w:val="en-US"/>
        </w:rPr>
      </w:pPr>
      <w:r w:rsidRPr="00F72511">
        <w:rPr>
          <w:lang w:val="en-US"/>
        </w:rPr>
        <w:t>The response in Europe was largely one of increased government borrowing, offset by packages of tax rises and spending cuts. The approaches in France, Germany, Ireland, Italy, Spain and the United Kingdom have been in some ways similar, but important differences in the balance of taxes and cuts, in the areas targeted and in the types of households affected have allowed </w:t>
      </w:r>
      <w:hyperlink r:id="rId10" w:history="1">
        <w:r w:rsidRPr="00F72511">
          <w:rPr>
            <w:rStyle w:val="Lienhypertexte"/>
            <w:lang w:val="en-US"/>
          </w:rPr>
          <w:t>us to draw some clear conclusions</w:t>
        </w:r>
      </w:hyperlink>
      <w:r w:rsidRPr="00F72511">
        <w:rPr>
          <w:lang w:val="en-US"/>
        </w:rPr>
        <w:t> about the impact of the Great Recession.</w:t>
      </w:r>
    </w:p>
    <w:p w:rsidR="00FD25C3" w:rsidRDefault="00FD25C3" w:rsidP="00F72511">
      <w:pPr>
        <w:rPr>
          <w:lang w:val="en-US"/>
        </w:rPr>
      </w:pPr>
    </w:p>
    <w:p w:rsidR="00FD25C3" w:rsidRPr="00F72511" w:rsidRDefault="00FD25C3" w:rsidP="00F72511">
      <w:pPr>
        <w:rPr>
          <w:lang w:val="en-US"/>
        </w:rPr>
      </w:pPr>
    </w:p>
    <w:p w:rsidR="00F72511" w:rsidRPr="00F72511" w:rsidRDefault="00F72511" w:rsidP="00F72511">
      <w:pPr>
        <w:rPr>
          <w:b/>
          <w:bCs/>
          <w:lang w:val="en-US"/>
        </w:rPr>
      </w:pPr>
      <w:r w:rsidRPr="00F72511">
        <w:rPr>
          <w:b/>
          <w:bCs/>
          <w:lang w:val="en-US"/>
        </w:rPr>
        <w:t>The borrowing response</w:t>
      </w:r>
    </w:p>
    <w:p w:rsidR="00F72511" w:rsidRDefault="00F72511" w:rsidP="00F72511">
      <w:pPr>
        <w:rPr>
          <w:lang w:val="en-US"/>
        </w:rPr>
      </w:pPr>
      <w:r w:rsidRPr="00F72511">
        <w:rPr>
          <w:lang w:val="en-US"/>
        </w:rPr>
        <w:t>In the years before 2007/2008, Ireland </w:t>
      </w:r>
      <w:hyperlink r:id="rId11" w:history="1">
        <w:r w:rsidRPr="00F72511">
          <w:rPr>
            <w:rStyle w:val="Lienhypertexte"/>
            <w:lang w:val="en-US"/>
          </w:rPr>
          <w:t>and Spain</w:t>
        </w:r>
      </w:hyperlink>
      <w:r w:rsidRPr="00F72511">
        <w:rPr>
          <w:lang w:val="en-US"/>
        </w:rPr>
        <w:t> appeared to have the healthiest fiscal positions; they had run overall budget surpluses for at least the preceding three years. However, with the onset of the crisis, it quickly became clear that this position was propped up by unsustainable revenues, </w:t>
      </w:r>
      <w:hyperlink r:id="rId12" w:history="1">
        <w:r w:rsidRPr="00F72511">
          <w:rPr>
            <w:rStyle w:val="Lienhypertexte"/>
            <w:lang w:val="en-US"/>
          </w:rPr>
          <w:t>from the property market</w:t>
        </w:r>
      </w:hyperlink>
      <w:r w:rsidRPr="00F72511">
        <w:rPr>
          <w:lang w:val="en-US"/>
        </w:rPr>
        <w:t> in particular. As the chart below shows, the financial crisis led to a substantial deterioration in the apparent underlying strength of Ireland’s and Spain’s public finances. </w:t>
      </w:r>
    </w:p>
    <w:p w:rsidR="00FD25C3" w:rsidRPr="00F72511" w:rsidRDefault="00FD25C3" w:rsidP="00F72511">
      <w:pPr>
        <w:rPr>
          <w:lang w:val="en-US"/>
        </w:rPr>
      </w:pPr>
    </w:p>
    <w:p w:rsidR="00F72511" w:rsidRDefault="00F72511" w:rsidP="00F72511">
      <w:pPr>
        <w:rPr>
          <w:lang w:val="en-US"/>
        </w:rPr>
      </w:pPr>
      <w:r w:rsidRPr="00F72511">
        <w:rPr>
          <w:lang w:val="en-US"/>
        </w:rPr>
        <w:t>Although suffering a little less severely, France, Italy and the UK also saw their underlying public finances weaken, each by just over 5% of GDP. In other words, had they taken no policy action at all, they would have ended up borrowing over 5% of GDP more every year, forever. </w:t>
      </w:r>
    </w:p>
    <w:p w:rsidR="00FD25C3" w:rsidRPr="00F72511" w:rsidRDefault="00FD25C3" w:rsidP="00F72511">
      <w:pPr>
        <w:rPr>
          <w:lang w:val="en-US"/>
        </w:rPr>
      </w:pPr>
    </w:p>
    <w:p w:rsidR="00F72511" w:rsidRPr="00F72511" w:rsidRDefault="00F72511" w:rsidP="00F72511">
      <w:pPr>
        <w:rPr>
          <w:lang w:val="en-US"/>
        </w:rPr>
      </w:pPr>
      <w:r w:rsidRPr="00FD25C3">
        <w:rPr>
          <w:color w:val="ED7D31" w:themeColor="accent2"/>
          <w:lang w:val="en-US"/>
        </w:rPr>
        <w:t xml:space="preserve">The only exception was Germany, whose public finances were – in the long term – unaffected by the Great Recession. </w:t>
      </w:r>
      <w:r w:rsidRPr="00F72511">
        <w:rPr>
          <w:lang w:val="en-US"/>
        </w:rPr>
        <w:t xml:space="preserve">Germany was the only one of the six countries for whom this looked </w:t>
      </w:r>
      <w:r w:rsidRPr="00F72511">
        <w:rPr>
          <w:lang w:val="en-US"/>
        </w:rPr>
        <w:lastRenderedPageBreak/>
        <w:t>like a “text book” recession; a temporary increase in borrowing followed by a quick return to normal times.</w:t>
      </w:r>
    </w:p>
    <w:p w:rsidR="00F72511" w:rsidRPr="00F72511" w:rsidRDefault="00F72511" w:rsidP="00F72511">
      <w:pPr>
        <w:rPr>
          <w:rStyle w:val="Lienhypertexte"/>
          <w:lang w:val="en-US"/>
        </w:rPr>
      </w:pPr>
      <w:r w:rsidRPr="00F72511">
        <w:fldChar w:fldCharType="begin"/>
      </w:r>
      <w:r w:rsidRPr="00F72511">
        <w:rPr>
          <w:lang w:val="en-US"/>
        </w:rPr>
        <w:instrText>HYPERLINK "https://images.theconversation.com/files/104915/original/image-20151208-32398-w3ck31.jpg?ixlib=rb-4.1.0&amp;q=45&amp;auto=format&amp;w=1000&amp;fit=clip"</w:instrText>
      </w:r>
      <w:r w:rsidRPr="00F72511">
        <w:fldChar w:fldCharType="separate"/>
      </w:r>
    </w:p>
    <w:p w:rsidR="00F72511" w:rsidRPr="00F72511" w:rsidRDefault="00F72511" w:rsidP="00F72511">
      <w:pPr>
        <w:rPr>
          <w:rStyle w:val="Lienhypertexte"/>
        </w:rPr>
      </w:pPr>
      <w:r w:rsidRPr="00F72511">
        <w:rPr>
          <w:rStyle w:val="Lienhypertexte"/>
        </w:rPr>
        <w:fldChar w:fldCharType="begin"/>
      </w:r>
      <w:r w:rsidRPr="00F72511">
        <w:rPr>
          <w:rStyle w:val="Lienhypertexte"/>
        </w:rPr>
        <w:instrText xml:space="preserve"> INCLUDEPICTURE "https://images.theconversation.com/files/104915/original/image-20151208-32398-w3ck31.jpg?ixlib=rb-4.1.0&amp;q=45&amp;auto=format&amp;w=754&amp;fit=clip" \* MERGEFORMATINET </w:instrText>
      </w:r>
      <w:r w:rsidRPr="00F72511">
        <w:rPr>
          <w:rStyle w:val="Lienhypertexte"/>
        </w:rPr>
        <w:fldChar w:fldCharType="separate"/>
      </w:r>
      <w:r w:rsidRPr="00F72511">
        <w:rPr>
          <w:rStyle w:val="Lienhypertexte"/>
          <w:noProof/>
        </w:rPr>
        <w:drawing>
          <wp:inline distT="0" distB="0" distL="0" distR="0">
            <wp:extent cx="5760720" cy="2376170"/>
            <wp:effectExtent l="0" t="0" r="5080" b="0"/>
            <wp:docPr id="560967535" name="Image 13">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376170"/>
                    </a:xfrm>
                    <a:prstGeom prst="rect">
                      <a:avLst/>
                    </a:prstGeom>
                    <a:noFill/>
                    <a:ln>
                      <a:noFill/>
                    </a:ln>
                  </pic:spPr>
                </pic:pic>
              </a:graphicData>
            </a:graphic>
          </wp:inline>
        </w:drawing>
      </w:r>
      <w:r w:rsidRPr="00F72511">
        <w:rPr>
          <w:rStyle w:val="Lienhypertexte"/>
        </w:rPr>
        <w:fldChar w:fldCharType="end"/>
      </w:r>
    </w:p>
    <w:p w:rsidR="00F72511" w:rsidRPr="00F72511" w:rsidRDefault="00F72511" w:rsidP="00F72511">
      <w:pPr>
        <w:rPr>
          <w:lang w:val="en-US"/>
        </w:rPr>
      </w:pPr>
      <w:r w:rsidRPr="00F72511">
        <w:fldChar w:fldCharType="end"/>
      </w:r>
      <w:r w:rsidRPr="00F72511">
        <w:rPr>
          <w:lang w:val="en-US"/>
        </w:rPr>
        <w:t>IFS</w:t>
      </w:r>
    </w:p>
    <w:p w:rsidR="00F72511" w:rsidRPr="00F72511" w:rsidRDefault="00F72511" w:rsidP="00F72511">
      <w:pPr>
        <w:rPr>
          <w:b/>
          <w:bCs/>
          <w:lang w:val="en-US"/>
        </w:rPr>
      </w:pPr>
      <w:r w:rsidRPr="00F72511">
        <w:rPr>
          <w:b/>
          <w:bCs/>
          <w:lang w:val="en-US"/>
        </w:rPr>
        <w:t>Fiscal response</w:t>
      </w:r>
    </w:p>
    <w:p w:rsidR="00F72511" w:rsidRPr="00F72511" w:rsidRDefault="00F72511" w:rsidP="00F72511">
      <w:pPr>
        <w:rPr>
          <w:lang w:val="en-US"/>
        </w:rPr>
      </w:pPr>
      <w:r w:rsidRPr="00F72511">
        <w:rPr>
          <w:lang w:val="en-US"/>
        </w:rPr>
        <w:t xml:space="preserve">There have been some very different solutions aimed at dealing with the fiscal problems faced. </w:t>
      </w:r>
      <w:r w:rsidRPr="00FD25C3">
        <w:rPr>
          <w:color w:val="ED7D31" w:themeColor="accent2"/>
          <w:lang w:val="en-US"/>
        </w:rPr>
        <w:t>France and Italy have both relied relatively heavily </w:t>
      </w:r>
      <w:hyperlink r:id="rId15" w:history="1">
        <w:r w:rsidRPr="00FD25C3">
          <w:rPr>
            <w:rStyle w:val="Lienhypertexte"/>
            <w:color w:val="ED7D31" w:themeColor="accent2"/>
            <w:lang w:val="en-US"/>
          </w:rPr>
          <w:t>on raising taxes</w:t>
        </w:r>
      </w:hyperlink>
      <w:r w:rsidRPr="00FD25C3">
        <w:rPr>
          <w:color w:val="ED7D31" w:themeColor="accent2"/>
          <w:lang w:val="en-US"/>
        </w:rPr>
        <w:t xml:space="preserve">, rather than cutting spending, </w:t>
      </w:r>
      <w:r w:rsidRPr="00F72511">
        <w:rPr>
          <w:lang w:val="en-US"/>
        </w:rPr>
        <w:t>to reduce borrowing (as the chart shows). By the end of 2014, two-thirds of the measures implemented in France were aimed at boosting revenue and one-third at reducing spending. Both France and Italy are on course to become higher tax, higher spending and higher borrowing countries than they were before the crisis hit.</w:t>
      </w:r>
    </w:p>
    <w:p w:rsidR="00F72511" w:rsidRPr="00F72511" w:rsidRDefault="00F72511" w:rsidP="00F72511">
      <w:pPr>
        <w:rPr>
          <w:rStyle w:val="Lienhypertexte"/>
          <w:lang w:val="en-US"/>
        </w:rPr>
      </w:pPr>
      <w:r w:rsidRPr="00F72511">
        <w:fldChar w:fldCharType="begin"/>
      </w:r>
      <w:r w:rsidRPr="00F72511">
        <w:rPr>
          <w:lang w:val="en-US"/>
        </w:rPr>
        <w:instrText>HYPERLINK "https://images.theconversation.com/files/104961/original/image-20151208-4898-nlqt8g.jpg?ixlib=rb-4.1.0&amp;q=45&amp;auto=format&amp;w=1000&amp;fit=clip"</w:instrText>
      </w:r>
      <w:r w:rsidRPr="00F72511">
        <w:fldChar w:fldCharType="separate"/>
      </w:r>
    </w:p>
    <w:p w:rsidR="00F72511" w:rsidRPr="00F72511" w:rsidRDefault="00F72511" w:rsidP="00F72511">
      <w:pPr>
        <w:rPr>
          <w:rStyle w:val="Lienhypertexte"/>
        </w:rPr>
      </w:pPr>
      <w:r w:rsidRPr="00F72511">
        <w:rPr>
          <w:rStyle w:val="Lienhypertexte"/>
        </w:rPr>
        <w:fldChar w:fldCharType="begin"/>
      </w:r>
      <w:r w:rsidRPr="00F72511">
        <w:rPr>
          <w:rStyle w:val="Lienhypertexte"/>
        </w:rPr>
        <w:instrText xml:space="preserve"> INCLUDEPICTURE "https://images.theconversation.com/files/104961/original/image-20151208-4898-nlqt8g.jpg?ixlib=rb-4.1.0&amp;q=45&amp;auto=format&amp;w=754&amp;fit=clip" \* MERGEFORMATINET </w:instrText>
      </w:r>
      <w:r w:rsidRPr="00F72511">
        <w:rPr>
          <w:rStyle w:val="Lienhypertexte"/>
        </w:rPr>
        <w:fldChar w:fldCharType="separate"/>
      </w:r>
      <w:r w:rsidRPr="00F72511">
        <w:rPr>
          <w:rStyle w:val="Lienhypertexte"/>
          <w:noProof/>
        </w:rPr>
        <w:drawing>
          <wp:inline distT="0" distB="0" distL="0" distR="0">
            <wp:extent cx="5760720" cy="3835400"/>
            <wp:effectExtent l="0" t="0" r="5080" b="0"/>
            <wp:docPr id="2047787873" name="Image 12">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3835400"/>
                    </a:xfrm>
                    <a:prstGeom prst="rect">
                      <a:avLst/>
                    </a:prstGeom>
                    <a:noFill/>
                    <a:ln>
                      <a:noFill/>
                    </a:ln>
                  </pic:spPr>
                </pic:pic>
              </a:graphicData>
            </a:graphic>
          </wp:inline>
        </w:drawing>
      </w:r>
      <w:r w:rsidRPr="00F72511">
        <w:rPr>
          <w:rStyle w:val="Lienhypertexte"/>
        </w:rPr>
        <w:fldChar w:fldCharType="end"/>
      </w:r>
    </w:p>
    <w:p w:rsidR="00F72511" w:rsidRPr="00F72511" w:rsidRDefault="00F72511" w:rsidP="00F72511">
      <w:pPr>
        <w:rPr>
          <w:lang w:val="en-US"/>
        </w:rPr>
      </w:pPr>
      <w:r w:rsidRPr="00F72511">
        <w:fldChar w:fldCharType="end"/>
      </w:r>
      <w:r w:rsidRPr="00F72511">
        <w:rPr>
          <w:lang w:val="en-US"/>
        </w:rPr>
        <w:t>Italy goes a different route. </w:t>
      </w:r>
      <w:hyperlink r:id="rId18" w:history="1">
        <w:r w:rsidRPr="00F72511">
          <w:rPr>
            <w:rStyle w:val="Lienhypertexte"/>
            <w:lang w:val="en-US"/>
          </w:rPr>
          <w:t xml:space="preserve">Antonio </w:t>
        </w:r>
        <w:proofErr w:type="spellStart"/>
        <w:r w:rsidRPr="00F72511">
          <w:rPr>
            <w:rStyle w:val="Lienhypertexte"/>
            <w:lang w:val="en-US"/>
          </w:rPr>
          <w:t>Cinotti</w:t>
        </w:r>
        <w:proofErr w:type="spellEnd"/>
      </w:hyperlink>
      <w:r w:rsidRPr="00F72511">
        <w:rPr>
          <w:lang w:val="en-US"/>
        </w:rPr>
        <w:t>, </w:t>
      </w:r>
      <w:hyperlink r:id="rId19" w:history="1">
        <w:r w:rsidRPr="00F72511">
          <w:rPr>
            <w:rStyle w:val="Lienhypertexte"/>
            <w:lang w:val="en-US"/>
          </w:rPr>
          <w:t>CC BY-NC-ND</w:t>
        </w:r>
      </w:hyperlink>
    </w:p>
    <w:p w:rsidR="00F72511" w:rsidRDefault="00F72511" w:rsidP="00F72511">
      <w:pPr>
        <w:rPr>
          <w:lang w:val="en-US"/>
        </w:rPr>
      </w:pPr>
      <w:r w:rsidRPr="00FD25C3">
        <w:rPr>
          <w:color w:val="ED7D31" w:themeColor="accent2"/>
          <w:lang w:val="en-US"/>
        </w:rPr>
        <w:lastRenderedPageBreak/>
        <w:t>In contrast, the UK has relied mainly </w:t>
      </w:r>
      <w:hyperlink r:id="rId20" w:history="1">
        <w:r w:rsidRPr="00FD25C3">
          <w:rPr>
            <w:rStyle w:val="Lienhypertexte"/>
            <w:color w:val="ED7D31" w:themeColor="accent2"/>
            <w:lang w:val="en-US"/>
          </w:rPr>
          <w:t>on cuts to public spending</w:t>
        </w:r>
      </w:hyperlink>
      <w:r w:rsidRPr="00FD25C3">
        <w:rPr>
          <w:color w:val="ED7D31" w:themeColor="accent2"/>
          <w:lang w:val="en-US"/>
        </w:rPr>
        <w:t xml:space="preserve">: </w:t>
      </w:r>
      <w:r w:rsidRPr="00F72511">
        <w:rPr>
          <w:lang w:val="en-US"/>
        </w:rPr>
        <w:t>up to the end of 2014–15, 82% of fiscal measures in the UK were spending cuts, as the figure shows. The result is that the UK is on course to have a lower level of spending, a similar level of taxation, and a lower level of borrowing than pre-crisis.</w:t>
      </w:r>
    </w:p>
    <w:p w:rsidR="00FD25C3" w:rsidRPr="00F72511" w:rsidRDefault="00FD25C3" w:rsidP="00F72511">
      <w:pPr>
        <w:rPr>
          <w:lang w:val="en-US"/>
        </w:rPr>
      </w:pPr>
    </w:p>
    <w:p w:rsidR="00F72511" w:rsidRPr="00F72511" w:rsidRDefault="00F72511" w:rsidP="00F72511">
      <w:pPr>
        <w:rPr>
          <w:b/>
          <w:bCs/>
          <w:lang w:val="en-US"/>
        </w:rPr>
      </w:pPr>
      <w:r w:rsidRPr="00F72511">
        <w:rPr>
          <w:b/>
          <w:bCs/>
          <w:lang w:val="en-US"/>
        </w:rPr>
        <w:t>Similar on tax, different on spending</w:t>
      </w:r>
    </w:p>
    <w:p w:rsidR="00F72511" w:rsidRPr="00F72511" w:rsidRDefault="00F72511" w:rsidP="00F72511">
      <w:pPr>
        <w:rPr>
          <w:lang w:val="en-US"/>
        </w:rPr>
      </w:pPr>
      <w:r w:rsidRPr="00F72511">
        <w:rPr>
          <w:lang w:val="en-US"/>
        </w:rPr>
        <w:t>Each country has raised tax to some degree, and the nature of the tax increases implemented shows up some interesting similarities. France, Ireland, Italy, Spain and the UK all </w:t>
      </w:r>
      <w:hyperlink r:id="rId21" w:history="1">
        <w:r w:rsidRPr="00FD25C3">
          <w:rPr>
            <w:rStyle w:val="Lienhypertexte"/>
            <w:color w:val="ED7D31" w:themeColor="accent2"/>
            <w:lang w:val="en-US"/>
          </w:rPr>
          <w:t>chose to increase VAT rates</w:t>
        </w:r>
      </w:hyperlink>
      <w:r w:rsidRPr="00FD25C3">
        <w:rPr>
          <w:color w:val="ED7D31" w:themeColor="accent2"/>
          <w:lang w:val="en-US"/>
        </w:rPr>
        <w:t> and social insurance contributions</w:t>
      </w:r>
      <w:r w:rsidRPr="00F72511">
        <w:rPr>
          <w:lang w:val="en-US"/>
        </w:rPr>
        <w:t>. France, Spain and the UK also implemented income tax rises aimed at the highest income individuals, while France and the UK both chose to </w:t>
      </w:r>
      <w:hyperlink r:id="rId22" w:history="1">
        <w:r w:rsidRPr="00F72511">
          <w:rPr>
            <w:rStyle w:val="Lienhypertexte"/>
            <w:lang w:val="en-US"/>
          </w:rPr>
          <w:t>reduce corporation tax rates</w:t>
        </w:r>
      </w:hyperlink>
      <w:r w:rsidRPr="00F72511">
        <w:rPr>
          <w:lang w:val="en-US"/>
        </w:rPr>
        <w:t> while widening the base for this tax. </w:t>
      </w:r>
    </w:p>
    <w:p w:rsidR="00F72511" w:rsidRPr="00F72511" w:rsidRDefault="00F72511" w:rsidP="00F72511">
      <w:pPr>
        <w:rPr>
          <w:lang w:val="en-US"/>
        </w:rPr>
      </w:pPr>
      <w:r w:rsidRPr="00F72511">
        <w:rPr>
          <w:lang w:val="en-US"/>
        </w:rPr>
        <w:t>The countries have, however, made rather different choices about spending. France, Italy and Spain refrained from cutting welfare benefits, in stark contrast to Ireland and the UK where cuts to benefit payments for working age adults played a major role. France and the UK have both chosen to afford relative </w:t>
      </w:r>
      <w:hyperlink r:id="rId23" w:history="1">
        <w:r w:rsidRPr="00F72511">
          <w:rPr>
            <w:rStyle w:val="Lienhypertexte"/>
            <w:lang w:val="en-US"/>
          </w:rPr>
          <w:t>protection to spending</w:t>
        </w:r>
      </w:hyperlink>
      <w:r w:rsidRPr="00F72511">
        <w:rPr>
          <w:lang w:val="en-US"/>
        </w:rPr>
        <w:t> on health and education, while Italy and Spain have chosen to cut these services more deeply than other service areas. </w:t>
      </w:r>
    </w:p>
    <w:p w:rsidR="00F72511" w:rsidRDefault="00F72511" w:rsidP="00F72511">
      <w:pPr>
        <w:rPr>
          <w:lang w:val="en-US"/>
        </w:rPr>
      </w:pPr>
      <w:r w:rsidRPr="00F72511">
        <w:rPr>
          <w:lang w:val="en-US"/>
        </w:rPr>
        <w:t>Countries have also made divergent choices about which households should bear the brunt. In Italy households with children have lost less from tax and benefit reforms than pensioner households; the reverse is true in Ireland and the UK. </w:t>
      </w:r>
    </w:p>
    <w:p w:rsidR="00FD25C3" w:rsidRPr="00F72511" w:rsidRDefault="00FD25C3" w:rsidP="00F72511">
      <w:pPr>
        <w:rPr>
          <w:lang w:val="en-US"/>
        </w:rPr>
      </w:pPr>
    </w:p>
    <w:p w:rsidR="00F72511" w:rsidRPr="00F72511" w:rsidRDefault="00F72511" w:rsidP="00F72511">
      <w:pPr>
        <w:rPr>
          <w:b/>
          <w:bCs/>
          <w:lang w:val="en-US"/>
        </w:rPr>
      </w:pPr>
      <w:r w:rsidRPr="00F72511">
        <w:rPr>
          <w:b/>
          <w:bCs/>
          <w:lang w:val="en-US"/>
        </w:rPr>
        <w:t>Making the most of it?</w:t>
      </w:r>
    </w:p>
    <w:p w:rsidR="00F72511" w:rsidRPr="00F72511" w:rsidRDefault="00F72511" w:rsidP="00F72511">
      <w:pPr>
        <w:rPr>
          <w:lang w:val="en-US"/>
        </w:rPr>
      </w:pPr>
      <w:r w:rsidRPr="00F72511">
        <w:rPr>
          <w:lang w:val="en-US"/>
        </w:rPr>
        <w:t>With France, Ireland, Italy, Spain and the UK implementing large fiscal adjustments since the onset of the Great Recession, we might hope that policymakers would have used this moment to improve the efficiency of the tax system and public spending in their countries. Or, at the very least, we would hope that they did not exacerbate existing inefficiencies. Unfortunately, in many cases, the fiscal response to the crisis has been a missed opportunity.</w:t>
      </w:r>
    </w:p>
    <w:p w:rsidR="00F72511" w:rsidRPr="00F72511" w:rsidRDefault="00F72511" w:rsidP="00F72511">
      <w:pPr>
        <w:rPr>
          <w:lang w:val="en-US"/>
        </w:rPr>
      </w:pPr>
      <w:r w:rsidRPr="00F72511">
        <w:rPr>
          <w:lang w:val="en-US"/>
        </w:rPr>
        <w:t>In France, while the </w:t>
      </w:r>
      <w:hyperlink r:id="rId24" w:history="1">
        <w:r w:rsidRPr="00F72511">
          <w:rPr>
            <w:rStyle w:val="Lienhypertexte"/>
            <w:lang w:val="en-US"/>
          </w:rPr>
          <w:t>new corporate tax credit</w:t>
        </w:r>
      </w:hyperlink>
      <w:r w:rsidRPr="00F72511">
        <w:rPr>
          <w:lang w:val="en-US"/>
        </w:rPr>
        <w:t> (which is computed on individual earnings of firms’ employees) is welcome, it would have been better to simply reduce the relatively high level of employer social security contributions.</w:t>
      </w:r>
    </w:p>
    <w:p w:rsidR="00F72511" w:rsidRDefault="00F72511" w:rsidP="00F72511">
      <w:pPr>
        <w:rPr>
          <w:color w:val="ED7D31" w:themeColor="accent2"/>
          <w:lang w:val="en-US"/>
        </w:rPr>
      </w:pPr>
      <w:r w:rsidRPr="00FD25C3">
        <w:rPr>
          <w:color w:val="ED7D31" w:themeColor="accent2"/>
          <w:lang w:val="en-US"/>
        </w:rPr>
        <w:t>In Ireland, reforms have unnecessarily created uncertainty and distortions. There has been a </w:t>
      </w:r>
      <w:hyperlink r:id="rId25" w:history="1">
        <w:r w:rsidRPr="00FD25C3">
          <w:rPr>
            <w:rStyle w:val="Lienhypertexte"/>
            <w:color w:val="ED7D31" w:themeColor="accent2"/>
            <w:lang w:val="en-US"/>
          </w:rPr>
          <w:t>succession of VAT changes</w:t>
        </w:r>
      </w:hyperlink>
      <w:r w:rsidRPr="00FD25C3">
        <w:rPr>
          <w:color w:val="ED7D31" w:themeColor="accent2"/>
          <w:lang w:val="en-US"/>
        </w:rPr>
        <w:t>, while capital gains tax has since October 2008 been increased from 20% to 22%, then to 25%, then to 30% and then to 33%.</w:t>
      </w:r>
    </w:p>
    <w:p w:rsidR="00FD25C3" w:rsidRPr="00FD25C3" w:rsidRDefault="00FD25C3" w:rsidP="00F72511">
      <w:pPr>
        <w:rPr>
          <w:color w:val="ED7D31" w:themeColor="accent2"/>
          <w:lang w:val="en-US"/>
        </w:rPr>
      </w:pPr>
    </w:p>
    <w:p w:rsidR="00F72511" w:rsidRPr="00F72511" w:rsidRDefault="00F72511" w:rsidP="00F72511">
      <w:pPr>
        <w:rPr>
          <w:lang w:val="en-US"/>
        </w:rPr>
      </w:pPr>
      <w:r w:rsidRPr="00F72511">
        <w:rPr>
          <w:lang w:val="en-US"/>
        </w:rPr>
        <w:t>The UK charges VAT on a </w:t>
      </w:r>
      <w:hyperlink r:id="rId26" w:history="1">
        <w:r w:rsidRPr="00F72511">
          <w:rPr>
            <w:rStyle w:val="Lienhypertexte"/>
            <w:lang w:val="en-US"/>
          </w:rPr>
          <w:t>relatively narrow range of goods</w:t>
        </w:r>
      </w:hyperlink>
      <w:r w:rsidRPr="00F72511">
        <w:rPr>
          <w:lang w:val="en-US"/>
        </w:rPr>
        <w:t xml:space="preserve"> – exempting things like certain foods and children’s clothing. This creates distortions in the economy: firms are </w:t>
      </w:r>
      <w:proofErr w:type="spellStart"/>
      <w:r w:rsidRPr="00F72511">
        <w:rPr>
          <w:lang w:val="en-US"/>
        </w:rPr>
        <w:t>incentivised</w:t>
      </w:r>
      <w:proofErr w:type="spellEnd"/>
      <w:r w:rsidRPr="00F72511">
        <w:rPr>
          <w:lang w:val="en-US"/>
        </w:rPr>
        <w:t xml:space="preserve"> to produce goods that are not subject to VAT and consumers are encouraged to purchase more of these VAT-free goods than they otherwise would. Therefore, the increase in the main rate of VAT will have come at the cost of increasing these distortions. </w:t>
      </w:r>
    </w:p>
    <w:p w:rsidR="00F72511" w:rsidRPr="00F72511" w:rsidRDefault="00F72511" w:rsidP="00F72511">
      <w:pPr>
        <w:rPr>
          <w:lang w:val="en-US"/>
        </w:rPr>
      </w:pPr>
      <w:r w:rsidRPr="00F72511">
        <w:rPr>
          <w:lang w:val="en-US"/>
        </w:rPr>
        <w:t>The UK income tax schedule has also been made considerably more complicated; take the introduction of a transferable tax allowance for married couples, and the tapering away of child benefit from high income parents.</w:t>
      </w:r>
    </w:p>
    <w:p w:rsidR="00F72511" w:rsidRPr="00F72511" w:rsidRDefault="00F72511" w:rsidP="00F72511">
      <w:pPr>
        <w:rPr>
          <w:lang w:val="en-US"/>
        </w:rPr>
      </w:pPr>
      <w:r w:rsidRPr="00F72511">
        <w:rPr>
          <w:lang w:val="en-US"/>
        </w:rPr>
        <w:t xml:space="preserve">With many countries still running deficits in excess of 2% of national income and having a stock of government debt well above pre-crisis levels, this will not be the end of the story. </w:t>
      </w:r>
      <w:r w:rsidRPr="00FD25C3">
        <w:rPr>
          <w:color w:val="ED7D31" w:themeColor="accent2"/>
          <w:lang w:val="en-US"/>
        </w:rPr>
        <w:t xml:space="preserve">Where there is a need for further spending cuts and/or tax rises, these could be an opportunity for countries to make reforms that improve the efficiency of tax and benefit systems. </w:t>
      </w:r>
      <w:r w:rsidRPr="00F72511">
        <w:rPr>
          <w:lang w:val="en-US"/>
        </w:rPr>
        <w:t>However, the lesson from the reforms made so far is that we perhaps ought not to be too optimistic. We may have to settle for reforms that do not add to existing deficiencies.</w:t>
      </w:r>
    </w:p>
    <w:p w:rsidR="00F72511" w:rsidRPr="00F72511" w:rsidRDefault="00F72511">
      <w:pPr>
        <w:rPr>
          <w:lang w:val="en-US"/>
        </w:rPr>
      </w:pPr>
    </w:p>
    <w:sectPr w:rsidR="00F72511" w:rsidRPr="00F725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6B5644"/>
    <w:multiLevelType w:val="multilevel"/>
    <w:tmpl w:val="5FB62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879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511"/>
    <w:rsid w:val="00B26C3D"/>
    <w:rsid w:val="00F72511"/>
    <w:rsid w:val="00FD25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253A4A6"/>
  <w15:chartTrackingRefBased/>
  <w15:docId w15:val="{5F789ECE-058D-CB4D-B5B5-204D12318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72511"/>
    <w:rPr>
      <w:color w:val="0563C1" w:themeColor="hyperlink"/>
      <w:u w:val="single"/>
    </w:rPr>
  </w:style>
  <w:style w:type="character" w:styleId="Mentionnonrsolue">
    <w:name w:val="Unresolved Mention"/>
    <w:basedOn w:val="Policepardfaut"/>
    <w:uiPriority w:val="99"/>
    <w:semiHidden/>
    <w:unhideWhenUsed/>
    <w:rsid w:val="00F72511"/>
    <w:rPr>
      <w:color w:val="605E5C"/>
      <w:shd w:val="clear" w:color="auto" w:fill="E1DFDD"/>
    </w:rPr>
  </w:style>
  <w:style w:type="character" w:styleId="Lienhypertextesuivivisit">
    <w:name w:val="FollowedHyperlink"/>
    <w:basedOn w:val="Policepardfaut"/>
    <w:uiPriority w:val="99"/>
    <w:semiHidden/>
    <w:unhideWhenUsed/>
    <w:rsid w:val="00FD25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43304">
      <w:bodyDiv w:val="1"/>
      <w:marLeft w:val="0"/>
      <w:marRight w:val="0"/>
      <w:marTop w:val="0"/>
      <w:marBottom w:val="0"/>
      <w:divBdr>
        <w:top w:val="none" w:sz="0" w:space="0" w:color="auto"/>
        <w:left w:val="none" w:sz="0" w:space="0" w:color="auto"/>
        <w:bottom w:val="none" w:sz="0" w:space="0" w:color="auto"/>
        <w:right w:val="none" w:sz="0" w:space="0" w:color="auto"/>
      </w:divBdr>
      <w:divsChild>
        <w:div w:id="1325084827">
          <w:marLeft w:val="0"/>
          <w:marRight w:val="0"/>
          <w:marTop w:val="0"/>
          <w:marBottom w:val="0"/>
          <w:divBdr>
            <w:top w:val="none" w:sz="0" w:space="0" w:color="auto"/>
            <w:left w:val="none" w:sz="0" w:space="0" w:color="auto"/>
            <w:bottom w:val="none" w:sz="0" w:space="0" w:color="auto"/>
            <w:right w:val="none" w:sz="0" w:space="0" w:color="auto"/>
          </w:divBdr>
          <w:divsChild>
            <w:div w:id="692460037">
              <w:marLeft w:val="0"/>
              <w:marRight w:val="300"/>
              <w:marTop w:val="0"/>
              <w:marBottom w:val="0"/>
              <w:divBdr>
                <w:top w:val="none" w:sz="0" w:space="0" w:color="auto"/>
                <w:left w:val="none" w:sz="0" w:space="0" w:color="auto"/>
                <w:bottom w:val="none" w:sz="0" w:space="0" w:color="auto"/>
                <w:right w:val="none" w:sz="0" w:space="0" w:color="auto"/>
              </w:divBdr>
              <w:divsChild>
                <w:div w:id="428161062">
                  <w:marLeft w:val="0"/>
                  <w:marRight w:val="0"/>
                  <w:marTop w:val="0"/>
                  <w:marBottom w:val="0"/>
                  <w:divBdr>
                    <w:top w:val="none" w:sz="0" w:space="0" w:color="auto"/>
                    <w:left w:val="none" w:sz="0" w:space="0" w:color="auto"/>
                    <w:bottom w:val="none" w:sz="0" w:space="0" w:color="auto"/>
                    <w:right w:val="none" w:sz="0" w:space="0" w:color="auto"/>
                  </w:divBdr>
                  <w:divsChild>
                    <w:div w:id="879587326">
                      <w:marLeft w:val="0"/>
                      <w:marRight w:val="0"/>
                      <w:marTop w:val="0"/>
                      <w:marBottom w:val="0"/>
                      <w:divBdr>
                        <w:top w:val="none" w:sz="0" w:space="0" w:color="auto"/>
                        <w:left w:val="none" w:sz="0" w:space="0" w:color="auto"/>
                        <w:bottom w:val="none" w:sz="0" w:space="0" w:color="auto"/>
                        <w:right w:val="none" w:sz="0" w:space="0" w:color="auto"/>
                      </w:divBdr>
                    </w:div>
                  </w:divsChild>
                </w:div>
                <w:div w:id="5851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59832">
          <w:marLeft w:val="0"/>
          <w:marRight w:val="0"/>
          <w:marTop w:val="0"/>
          <w:marBottom w:val="0"/>
          <w:divBdr>
            <w:top w:val="none" w:sz="0" w:space="0" w:color="auto"/>
            <w:left w:val="none" w:sz="0" w:space="0" w:color="auto"/>
            <w:bottom w:val="none" w:sz="0" w:space="0" w:color="auto"/>
            <w:right w:val="none" w:sz="0" w:space="0" w:color="auto"/>
          </w:divBdr>
          <w:divsChild>
            <w:div w:id="1743680643">
              <w:marLeft w:val="0"/>
              <w:marRight w:val="0"/>
              <w:marTop w:val="0"/>
              <w:marBottom w:val="900"/>
              <w:divBdr>
                <w:top w:val="none" w:sz="0" w:space="0" w:color="auto"/>
                <w:left w:val="none" w:sz="0" w:space="0" w:color="auto"/>
                <w:bottom w:val="none" w:sz="0" w:space="0" w:color="auto"/>
                <w:right w:val="none" w:sz="0" w:space="0" w:color="auto"/>
              </w:divBdr>
              <w:divsChild>
                <w:div w:id="1220553128">
                  <w:marLeft w:val="0"/>
                  <w:marRight w:val="0"/>
                  <w:marTop w:val="0"/>
                  <w:marBottom w:val="540"/>
                  <w:divBdr>
                    <w:top w:val="none" w:sz="0" w:space="0" w:color="auto"/>
                    <w:left w:val="none" w:sz="0" w:space="0" w:color="auto"/>
                    <w:bottom w:val="none" w:sz="0" w:space="0" w:color="auto"/>
                    <w:right w:val="none" w:sz="0" w:space="0" w:color="auto"/>
                  </w:divBdr>
                </w:div>
                <w:div w:id="1410273911">
                  <w:marLeft w:val="0"/>
                  <w:marRight w:val="0"/>
                  <w:marTop w:val="0"/>
                  <w:marBottom w:val="0"/>
                  <w:divBdr>
                    <w:top w:val="none" w:sz="0" w:space="0" w:color="auto"/>
                    <w:left w:val="none" w:sz="0" w:space="0" w:color="auto"/>
                    <w:bottom w:val="none" w:sz="0" w:space="0" w:color="auto"/>
                    <w:right w:val="none" w:sz="0" w:space="0" w:color="auto"/>
                  </w:divBdr>
                  <w:divsChild>
                    <w:div w:id="922106619">
                      <w:marLeft w:val="0"/>
                      <w:marRight w:val="0"/>
                      <w:marTop w:val="0"/>
                      <w:marBottom w:val="0"/>
                      <w:divBdr>
                        <w:top w:val="none" w:sz="0" w:space="0" w:color="auto"/>
                        <w:left w:val="none" w:sz="0" w:space="0" w:color="auto"/>
                        <w:bottom w:val="none" w:sz="0" w:space="0" w:color="auto"/>
                        <w:right w:val="none" w:sz="0" w:space="0" w:color="auto"/>
                      </w:divBdr>
                      <w:divsChild>
                        <w:div w:id="624042445">
                          <w:marLeft w:val="0"/>
                          <w:marRight w:val="0"/>
                          <w:marTop w:val="0"/>
                          <w:marBottom w:val="240"/>
                          <w:divBdr>
                            <w:top w:val="none" w:sz="0" w:space="0" w:color="auto"/>
                            <w:left w:val="none" w:sz="0" w:space="0" w:color="auto"/>
                            <w:bottom w:val="none" w:sz="0" w:space="0" w:color="auto"/>
                            <w:right w:val="none" w:sz="0" w:space="0" w:color="auto"/>
                          </w:divBdr>
                          <w:divsChild>
                            <w:div w:id="76522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0967755">
              <w:marLeft w:val="0"/>
              <w:marRight w:val="300"/>
              <w:marTop w:val="0"/>
              <w:marBottom w:val="0"/>
              <w:divBdr>
                <w:top w:val="none" w:sz="0" w:space="0" w:color="auto"/>
                <w:left w:val="none" w:sz="0" w:space="0" w:color="auto"/>
                <w:bottom w:val="none" w:sz="0" w:space="0" w:color="auto"/>
                <w:right w:val="none" w:sz="0" w:space="0" w:color="auto"/>
              </w:divBdr>
              <w:divsChild>
                <w:div w:id="1720740904">
                  <w:marLeft w:val="0"/>
                  <w:marRight w:val="0"/>
                  <w:marTop w:val="0"/>
                  <w:marBottom w:val="0"/>
                  <w:divBdr>
                    <w:top w:val="none" w:sz="0" w:space="0" w:color="auto"/>
                    <w:left w:val="none" w:sz="0" w:space="0" w:color="auto"/>
                    <w:bottom w:val="none" w:sz="0" w:space="0" w:color="auto"/>
                    <w:right w:val="none" w:sz="0" w:space="0" w:color="auto"/>
                  </w:divBdr>
                </w:div>
                <w:div w:id="2046637934">
                  <w:marLeft w:val="0"/>
                  <w:marRight w:val="0"/>
                  <w:marTop w:val="0"/>
                  <w:marBottom w:val="0"/>
                  <w:divBdr>
                    <w:top w:val="none" w:sz="0" w:space="0" w:color="auto"/>
                    <w:left w:val="none" w:sz="0" w:space="0" w:color="auto"/>
                    <w:bottom w:val="none" w:sz="0" w:space="0" w:color="auto"/>
                    <w:right w:val="none" w:sz="0" w:space="0" w:color="auto"/>
                  </w:divBdr>
                  <w:divsChild>
                    <w:div w:id="1772780895">
                      <w:marLeft w:val="0"/>
                      <w:marRight w:val="0"/>
                      <w:marTop w:val="0"/>
                      <w:marBottom w:val="0"/>
                      <w:divBdr>
                        <w:top w:val="none" w:sz="0" w:space="0" w:color="auto"/>
                        <w:left w:val="none" w:sz="0" w:space="0" w:color="auto"/>
                        <w:bottom w:val="none" w:sz="0" w:space="0" w:color="auto"/>
                        <w:right w:val="none" w:sz="0" w:space="0" w:color="auto"/>
                      </w:divBdr>
                    </w:div>
                    <w:div w:id="1473253794">
                      <w:marLeft w:val="0"/>
                      <w:marRight w:val="0"/>
                      <w:marTop w:val="0"/>
                      <w:marBottom w:val="0"/>
                      <w:divBdr>
                        <w:top w:val="none" w:sz="0" w:space="0" w:color="auto"/>
                        <w:left w:val="none" w:sz="0" w:space="0" w:color="auto"/>
                        <w:bottom w:val="none" w:sz="0" w:space="0" w:color="auto"/>
                        <w:right w:val="none" w:sz="0" w:space="0" w:color="auto"/>
                      </w:divBdr>
                    </w:div>
                    <w:div w:id="2045666936">
                      <w:marLeft w:val="0"/>
                      <w:marRight w:val="0"/>
                      <w:marTop w:val="0"/>
                      <w:marBottom w:val="0"/>
                      <w:divBdr>
                        <w:top w:val="none" w:sz="0" w:space="0" w:color="auto"/>
                        <w:left w:val="none" w:sz="0" w:space="0" w:color="auto"/>
                        <w:bottom w:val="none" w:sz="0" w:space="0" w:color="auto"/>
                        <w:right w:val="none" w:sz="0" w:space="0" w:color="auto"/>
                      </w:divBdr>
                    </w:div>
                    <w:div w:id="858667501">
                      <w:marLeft w:val="0"/>
                      <w:marRight w:val="0"/>
                      <w:marTop w:val="0"/>
                      <w:marBottom w:val="0"/>
                      <w:divBdr>
                        <w:top w:val="none" w:sz="0" w:space="0" w:color="auto"/>
                        <w:left w:val="none" w:sz="0" w:space="0" w:color="auto"/>
                        <w:bottom w:val="none" w:sz="0" w:space="0" w:color="auto"/>
                        <w:right w:val="none" w:sz="0" w:space="0" w:color="auto"/>
                      </w:divBdr>
                    </w:div>
                    <w:div w:id="1657800357">
                      <w:marLeft w:val="0"/>
                      <w:marRight w:val="0"/>
                      <w:marTop w:val="0"/>
                      <w:marBottom w:val="0"/>
                      <w:divBdr>
                        <w:top w:val="none" w:sz="0" w:space="0" w:color="auto"/>
                        <w:left w:val="none" w:sz="0" w:space="0" w:color="auto"/>
                        <w:bottom w:val="none" w:sz="0" w:space="0" w:color="auto"/>
                        <w:right w:val="none" w:sz="0" w:space="0" w:color="auto"/>
                      </w:divBdr>
                    </w:div>
                  </w:divsChild>
                </w:div>
                <w:div w:id="522860318">
                  <w:marLeft w:val="0"/>
                  <w:marRight w:val="0"/>
                  <w:marTop w:val="0"/>
                  <w:marBottom w:val="0"/>
                  <w:divBdr>
                    <w:top w:val="none" w:sz="0" w:space="0" w:color="auto"/>
                    <w:left w:val="none" w:sz="0" w:space="0" w:color="auto"/>
                    <w:bottom w:val="none" w:sz="0" w:space="0" w:color="auto"/>
                    <w:right w:val="none" w:sz="0" w:space="0" w:color="auto"/>
                  </w:divBdr>
                  <w:divsChild>
                    <w:div w:id="1503204492">
                      <w:marLeft w:val="0"/>
                      <w:marRight w:val="0"/>
                      <w:marTop w:val="0"/>
                      <w:marBottom w:val="0"/>
                      <w:divBdr>
                        <w:top w:val="none" w:sz="0" w:space="0" w:color="auto"/>
                        <w:left w:val="none" w:sz="0" w:space="0" w:color="auto"/>
                        <w:bottom w:val="none" w:sz="0" w:space="0" w:color="auto"/>
                        <w:right w:val="none" w:sz="0" w:space="0" w:color="auto"/>
                      </w:divBdr>
                      <w:divsChild>
                        <w:div w:id="77291072">
                          <w:marLeft w:val="0"/>
                          <w:marRight w:val="0"/>
                          <w:marTop w:val="0"/>
                          <w:marBottom w:val="0"/>
                          <w:divBdr>
                            <w:top w:val="none" w:sz="0" w:space="0" w:color="auto"/>
                            <w:left w:val="none" w:sz="0" w:space="0" w:color="auto"/>
                            <w:bottom w:val="none" w:sz="0" w:space="0" w:color="auto"/>
                            <w:right w:val="none" w:sz="0" w:space="0" w:color="auto"/>
                          </w:divBdr>
                          <w:divsChild>
                            <w:div w:id="1941596928">
                              <w:marLeft w:val="0"/>
                              <w:marRight w:val="0"/>
                              <w:marTop w:val="0"/>
                              <w:marBottom w:val="0"/>
                              <w:divBdr>
                                <w:top w:val="none" w:sz="0" w:space="0" w:color="auto"/>
                                <w:left w:val="none" w:sz="0" w:space="0" w:color="auto"/>
                                <w:bottom w:val="none" w:sz="0" w:space="0" w:color="auto"/>
                                <w:right w:val="none" w:sz="0" w:space="0" w:color="auto"/>
                              </w:divBdr>
                              <w:divsChild>
                                <w:div w:id="570694501">
                                  <w:marLeft w:val="0"/>
                                  <w:marRight w:val="0"/>
                                  <w:marTop w:val="0"/>
                                  <w:marBottom w:val="240"/>
                                  <w:divBdr>
                                    <w:top w:val="none" w:sz="0" w:space="0" w:color="auto"/>
                                    <w:left w:val="none" w:sz="0" w:space="0" w:color="auto"/>
                                    <w:bottom w:val="none" w:sz="0" w:space="0" w:color="auto"/>
                                    <w:right w:val="none" w:sz="0" w:space="0" w:color="auto"/>
                                  </w:divBdr>
                                  <w:divsChild>
                                    <w:div w:id="47371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52995">
                      <w:marLeft w:val="0"/>
                      <w:marRight w:val="0"/>
                      <w:marTop w:val="0"/>
                      <w:marBottom w:val="0"/>
                      <w:divBdr>
                        <w:top w:val="none" w:sz="0" w:space="0" w:color="auto"/>
                        <w:left w:val="none" w:sz="0" w:space="0" w:color="auto"/>
                        <w:bottom w:val="none" w:sz="0" w:space="0" w:color="auto"/>
                        <w:right w:val="none" w:sz="0" w:space="0" w:color="auto"/>
                      </w:divBdr>
                    </w:div>
                    <w:div w:id="115561874">
                      <w:marLeft w:val="0"/>
                      <w:marRight w:val="0"/>
                      <w:marTop w:val="0"/>
                      <w:marBottom w:val="0"/>
                      <w:divBdr>
                        <w:top w:val="none" w:sz="0" w:space="0" w:color="auto"/>
                        <w:left w:val="none" w:sz="0" w:space="0" w:color="auto"/>
                        <w:bottom w:val="none" w:sz="0" w:space="0" w:color="auto"/>
                        <w:right w:val="none" w:sz="0" w:space="0" w:color="auto"/>
                      </w:divBdr>
                    </w:div>
                    <w:div w:id="892690744">
                      <w:marLeft w:val="0"/>
                      <w:marRight w:val="0"/>
                      <w:marTop w:val="0"/>
                      <w:marBottom w:val="0"/>
                      <w:divBdr>
                        <w:top w:val="none" w:sz="0" w:space="0" w:color="auto"/>
                        <w:left w:val="none" w:sz="0" w:space="0" w:color="auto"/>
                        <w:bottom w:val="none" w:sz="0" w:space="0" w:color="auto"/>
                        <w:right w:val="none" w:sz="0" w:space="0" w:color="auto"/>
                      </w:divBdr>
                    </w:div>
                    <w:div w:id="85046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9911805">
      <w:bodyDiv w:val="1"/>
      <w:marLeft w:val="0"/>
      <w:marRight w:val="0"/>
      <w:marTop w:val="0"/>
      <w:marBottom w:val="0"/>
      <w:divBdr>
        <w:top w:val="none" w:sz="0" w:space="0" w:color="auto"/>
        <w:left w:val="none" w:sz="0" w:space="0" w:color="auto"/>
        <w:bottom w:val="none" w:sz="0" w:space="0" w:color="auto"/>
        <w:right w:val="none" w:sz="0" w:space="0" w:color="auto"/>
      </w:divBdr>
      <w:divsChild>
        <w:div w:id="178472368">
          <w:marLeft w:val="0"/>
          <w:marRight w:val="0"/>
          <w:marTop w:val="0"/>
          <w:marBottom w:val="0"/>
          <w:divBdr>
            <w:top w:val="none" w:sz="0" w:space="0" w:color="auto"/>
            <w:left w:val="none" w:sz="0" w:space="0" w:color="auto"/>
            <w:bottom w:val="none" w:sz="0" w:space="0" w:color="auto"/>
            <w:right w:val="none" w:sz="0" w:space="0" w:color="auto"/>
          </w:divBdr>
          <w:divsChild>
            <w:div w:id="1247156076">
              <w:marLeft w:val="0"/>
              <w:marRight w:val="300"/>
              <w:marTop w:val="0"/>
              <w:marBottom w:val="0"/>
              <w:divBdr>
                <w:top w:val="none" w:sz="0" w:space="0" w:color="auto"/>
                <w:left w:val="none" w:sz="0" w:space="0" w:color="auto"/>
                <w:bottom w:val="none" w:sz="0" w:space="0" w:color="auto"/>
                <w:right w:val="none" w:sz="0" w:space="0" w:color="auto"/>
              </w:divBdr>
              <w:divsChild>
                <w:div w:id="1629043826">
                  <w:marLeft w:val="0"/>
                  <w:marRight w:val="0"/>
                  <w:marTop w:val="0"/>
                  <w:marBottom w:val="0"/>
                  <w:divBdr>
                    <w:top w:val="none" w:sz="0" w:space="0" w:color="auto"/>
                    <w:left w:val="none" w:sz="0" w:space="0" w:color="auto"/>
                    <w:bottom w:val="none" w:sz="0" w:space="0" w:color="auto"/>
                    <w:right w:val="none" w:sz="0" w:space="0" w:color="auto"/>
                  </w:divBdr>
                  <w:divsChild>
                    <w:div w:id="669677285">
                      <w:marLeft w:val="0"/>
                      <w:marRight w:val="0"/>
                      <w:marTop w:val="0"/>
                      <w:marBottom w:val="0"/>
                      <w:divBdr>
                        <w:top w:val="none" w:sz="0" w:space="0" w:color="auto"/>
                        <w:left w:val="none" w:sz="0" w:space="0" w:color="auto"/>
                        <w:bottom w:val="none" w:sz="0" w:space="0" w:color="auto"/>
                        <w:right w:val="none" w:sz="0" w:space="0" w:color="auto"/>
                      </w:divBdr>
                    </w:div>
                  </w:divsChild>
                </w:div>
                <w:div w:id="209486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41517">
          <w:marLeft w:val="0"/>
          <w:marRight w:val="0"/>
          <w:marTop w:val="0"/>
          <w:marBottom w:val="0"/>
          <w:divBdr>
            <w:top w:val="none" w:sz="0" w:space="0" w:color="auto"/>
            <w:left w:val="none" w:sz="0" w:space="0" w:color="auto"/>
            <w:bottom w:val="none" w:sz="0" w:space="0" w:color="auto"/>
            <w:right w:val="none" w:sz="0" w:space="0" w:color="auto"/>
          </w:divBdr>
          <w:divsChild>
            <w:div w:id="1944026772">
              <w:marLeft w:val="0"/>
              <w:marRight w:val="0"/>
              <w:marTop w:val="0"/>
              <w:marBottom w:val="900"/>
              <w:divBdr>
                <w:top w:val="none" w:sz="0" w:space="0" w:color="auto"/>
                <w:left w:val="none" w:sz="0" w:space="0" w:color="auto"/>
                <w:bottom w:val="none" w:sz="0" w:space="0" w:color="auto"/>
                <w:right w:val="none" w:sz="0" w:space="0" w:color="auto"/>
              </w:divBdr>
              <w:divsChild>
                <w:div w:id="1174149327">
                  <w:marLeft w:val="0"/>
                  <w:marRight w:val="0"/>
                  <w:marTop w:val="0"/>
                  <w:marBottom w:val="540"/>
                  <w:divBdr>
                    <w:top w:val="none" w:sz="0" w:space="0" w:color="auto"/>
                    <w:left w:val="none" w:sz="0" w:space="0" w:color="auto"/>
                    <w:bottom w:val="none" w:sz="0" w:space="0" w:color="auto"/>
                    <w:right w:val="none" w:sz="0" w:space="0" w:color="auto"/>
                  </w:divBdr>
                </w:div>
                <w:div w:id="198055717">
                  <w:marLeft w:val="0"/>
                  <w:marRight w:val="0"/>
                  <w:marTop w:val="0"/>
                  <w:marBottom w:val="0"/>
                  <w:divBdr>
                    <w:top w:val="none" w:sz="0" w:space="0" w:color="auto"/>
                    <w:left w:val="none" w:sz="0" w:space="0" w:color="auto"/>
                    <w:bottom w:val="none" w:sz="0" w:space="0" w:color="auto"/>
                    <w:right w:val="none" w:sz="0" w:space="0" w:color="auto"/>
                  </w:divBdr>
                  <w:divsChild>
                    <w:div w:id="1964967443">
                      <w:marLeft w:val="0"/>
                      <w:marRight w:val="0"/>
                      <w:marTop w:val="0"/>
                      <w:marBottom w:val="0"/>
                      <w:divBdr>
                        <w:top w:val="none" w:sz="0" w:space="0" w:color="auto"/>
                        <w:left w:val="none" w:sz="0" w:space="0" w:color="auto"/>
                        <w:bottom w:val="none" w:sz="0" w:space="0" w:color="auto"/>
                        <w:right w:val="none" w:sz="0" w:space="0" w:color="auto"/>
                      </w:divBdr>
                      <w:divsChild>
                        <w:div w:id="1417089055">
                          <w:marLeft w:val="0"/>
                          <w:marRight w:val="0"/>
                          <w:marTop w:val="0"/>
                          <w:marBottom w:val="240"/>
                          <w:divBdr>
                            <w:top w:val="none" w:sz="0" w:space="0" w:color="auto"/>
                            <w:left w:val="none" w:sz="0" w:space="0" w:color="auto"/>
                            <w:bottom w:val="none" w:sz="0" w:space="0" w:color="auto"/>
                            <w:right w:val="none" w:sz="0" w:space="0" w:color="auto"/>
                          </w:divBdr>
                          <w:divsChild>
                            <w:div w:id="1207983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8931503">
              <w:marLeft w:val="0"/>
              <w:marRight w:val="300"/>
              <w:marTop w:val="0"/>
              <w:marBottom w:val="0"/>
              <w:divBdr>
                <w:top w:val="none" w:sz="0" w:space="0" w:color="auto"/>
                <w:left w:val="none" w:sz="0" w:space="0" w:color="auto"/>
                <w:bottom w:val="none" w:sz="0" w:space="0" w:color="auto"/>
                <w:right w:val="none" w:sz="0" w:space="0" w:color="auto"/>
              </w:divBdr>
              <w:divsChild>
                <w:div w:id="686641462">
                  <w:marLeft w:val="0"/>
                  <w:marRight w:val="0"/>
                  <w:marTop w:val="0"/>
                  <w:marBottom w:val="0"/>
                  <w:divBdr>
                    <w:top w:val="none" w:sz="0" w:space="0" w:color="auto"/>
                    <w:left w:val="none" w:sz="0" w:space="0" w:color="auto"/>
                    <w:bottom w:val="none" w:sz="0" w:space="0" w:color="auto"/>
                    <w:right w:val="none" w:sz="0" w:space="0" w:color="auto"/>
                  </w:divBdr>
                </w:div>
                <w:div w:id="1571651494">
                  <w:marLeft w:val="0"/>
                  <w:marRight w:val="0"/>
                  <w:marTop w:val="0"/>
                  <w:marBottom w:val="0"/>
                  <w:divBdr>
                    <w:top w:val="none" w:sz="0" w:space="0" w:color="auto"/>
                    <w:left w:val="none" w:sz="0" w:space="0" w:color="auto"/>
                    <w:bottom w:val="none" w:sz="0" w:space="0" w:color="auto"/>
                    <w:right w:val="none" w:sz="0" w:space="0" w:color="auto"/>
                  </w:divBdr>
                  <w:divsChild>
                    <w:div w:id="317656962">
                      <w:marLeft w:val="0"/>
                      <w:marRight w:val="0"/>
                      <w:marTop w:val="0"/>
                      <w:marBottom w:val="0"/>
                      <w:divBdr>
                        <w:top w:val="none" w:sz="0" w:space="0" w:color="auto"/>
                        <w:left w:val="none" w:sz="0" w:space="0" w:color="auto"/>
                        <w:bottom w:val="none" w:sz="0" w:space="0" w:color="auto"/>
                        <w:right w:val="none" w:sz="0" w:space="0" w:color="auto"/>
                      </w:divBdr>
                    </w:div>
                    <w:div w:id="45839595">
                      <w:marLeft w:val="0"/>
                      <w:marRight w:val="0"/>
                      <w:marTop w:val="0"/>
                      <w:marBottom w:val="0"/>
                      <w:divBdr>
                        <w:top w:val="none" w:sz="0" w:space="0" w:color="auto"/>
                        <w:left w:val="none" w:sz="0" w:space="0" w:color="auto"/>
                        <w:bottom w:val="none" w:sz="0" w:space="0" w:color="auto"/>
                        <w:right w:val="none" w:sz="0" w:space="0" w:color="auto"/>
                      </w:divBdr>
                    </w:div>
                    <w:div w:id="218514024">
                      <w:marLeft w:val="0"/>
                      <w:marRight w:val="0"/>
                      <w:marTop w:val="0"/>
                      <w:marBottom w:val="0"/>
                      <w:divBdr>
                        <w:top w:val="none" w:sz="0" w:space="0" w:color="auto"/>
                        <w:left w:val="none" w:sz="0" w:space="0" w:color="auto"/>
                        <w:bottom w:val="none" w:sz="0" w:space="0" w:color="auto"/>
                        <w:right w:val="none" w:sz="0" w:space="0" w:color="auto"/>
                      </w:divBdr>
                    </w:div>
                    <w:div w:id="622536130">
                      <w:marLeft w:val="0"/>
                      <w:marRight w:val="0"/>
                      <w:marTop w:val="0"/>
                      <w:marBottom w:val="0"/>
                      <w:divBdr>
                        <w:top w:val="none" w:sz="0" w:space="0" w:color="auto"/>
                        <w:left w:val="none" w:sz="0" w:space="0" w:color="auto"/>
                        <w:bottom w:val="none" w:sz="0" w:space="0" w:color="auto"/>
                        <w:right w:val="none" w:sz="0" w:space="0" w:color="auto"/>
                      </w:divBdr>
                    </w:div>
                    <w:div w:id="461770325">
                      <w:marLeft w:val="0"/>
                      <w:marRight w:val="0"/>
                      <w:marTop w:val="0"/>
                      <w:marBottom w:val="0"/>
                      <w:divBdr>
                        <w:top w:val="none" w:sz="0" w:space="0" w:color="auto"/>
                        <w:left w:val="none" w:sz="0" w:space="0" w:color="auto"/>
                        <w:bottom w:val="none" w:sz="0" w:space="0" w:color="auto"/>
                        <w:right w:val="none" w:sz="0" w:space="0" w:color="auto"/>
                      </w:divBdr>
                    </w:div>
                  </w:divsChild>
                </w:div>
                <w:div w:id="1359429557">
                  <w:marLeft w:val="0"/>
                  <w:marRight w:val="0"/>
                  <w:marTop w:val="0"/>
                  <w:marBottom w:val="0"/>
                  <w:divBdr>
                    <w:top w:val="none" w:sz="0" w:space="0" w:color="auto"/>
                    <w:left w:val="none" w:sz="0" w:space="0" w:color="auto"/>
                    <w:bottom w:val="none" w:sz="0" w:space="0" w:color="auto"/>
                    <w:right w:val="none" w:sz="0" w:space="0" w:color="auto"/>
                  </w:divBdr>
                  <w:divsChild>
                    <w:div w:id="872041424">
                      <w:marLeft w:val="0"/>
                      <w:marRight w:val="0"/>
                      <w:marTop w:val="0"/>
                      <w:marBottom w:val="0"/>
                      <w:divBdr>
                        <w:top w:val="none" w:sz="0" w:space="0" w:color="auto"/>
                        <w:left w:val="none" w:sz="0" w:space="0" w:color="auto"/>
                        <w:bottom w:val="none" w:sz="0" w:space="0" w:color="auto"/>
                        <w:right w:val="none" w:sz="0" w:space="0" w:color="auto"/>
                      </w:divBdr>
                      <w:divsChild>
                        <w:div w:id="1583880438">
                          <w:marLeft w:val="0"/>
                          <w:marRight w:val="0"/>
                          <w:marTop w:val="0"/>
                          <w:marBottom w:val="0"/>
                          <w:divBdr>
                            <w:top w:val="none" w:sz="0" w:space="0" w:color="auto"/>
                            <w:left w:val="none" w:sz="0" w:space="0" w:color="auto"/>
                            <w:bottom w:val="none" w:sz="0" w:space="0" w:color="auto"/>
                            <w:right w:val="none" w:sz="0" w:space="0" w:color="auto"/>
                          </w:divBdr>
                          <w:divsChild>
                            <w:div w:id="136920638">
                              <w:marLeft w:val="0"/>
                              <w:marRight w:val="0"/>
                              <w:marTop w:val="0"/>
                              <w:marBottom w:val="0"/>
                              <w:divBdr>
                                <w:top w:val="none" w:sz="0" w:space="0" w:color="auto"/>
                                <w:left w:val="none" w:sz="0" w:space="0" w:color="auto"/>
                                <w:bottom w:val="none" w:sz="0" w:space="0" w:color="auto"/>
                                <w:right w:val="none" w:sz="0" w:space="0" w:color="auto"/>
                              </w:divBdr>
                              <w:divsChild>
                                <w:div w:id="320278072">
                                  <w:marLeft w:val="0"/>
                                  <w:marRight w:val="0"/>
                                  <w:marTop w:val="0"/>
                                  <w:marBottom w:val="240"/>
                                  <w:divBdr>
                                    <w:top w:val="none" w:sz="0" w:space="0" w:color="auto"/>
                                    <w:left w:val="none" w:sz="0" w:space="0" w:color="auto"/>
                                    <w:bottom w:val="none" w:sz="0" w:space="0" w:color="auto"/>
                                    <w:right w:val="none" w:sz="0" w:space="0" w:color="auto"/>
                                  </w:divBdr>
                                  <w:divsChild>
                                    <w:div w:id="83168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334543">
                      <w:marLeft w:val="0"/>
                      <w:marRight w:val="0"/>
                      <w:marTop w:val="0"/>
                      <w:marBottom w:val="0"/>
                      <w:divBdr>
                        <w:top w:val="none" w:sz="0" w:space="0" w:color="auto"/>
                        <w:left w:val="none" w:sz="0" w:space="0" w:color="auto"/>
                        <w:bottom w:val="none" w:sz="0" w:space="0" w:color="auto"/>
                        <w:right w:val="none" w:sz="0" w:space="0" w:color="auto"/>
                      </w:divBdr>
                    </w:div>
                    <w:div w:id="408236375">
                      <w:marLeft w:val="0"/>
                      <w:marRight w:val="0"/>
                      <w:marTop w:val="0"/>
                      <w:marBottom w:val="0"/>
                      <w:divBdr>
                        <w:top w:val="none" w:sz="0" w:space="0" w:color="auto"/>
                        <w:left w:val="none" w:sz="0" w:space="0" w:color="auto"/>
                        <w:bottom w:val="none" w:sz="0" w:space="0" w:color="auto"/>
                        <w:right w:val="none" w:sz="0" w:space="0" w:color="auto"/>
                      </w:divBdr>
                    </w:div>
                    <w:div w:id="850413798">
                      <w:marLeft w:val="0"/>
                      <w:marRight w:val="0"/>
                      <w:marTop w:val="0"/>
                      <w:marBottom w:val="0"/>
                      <w:divBdr>
                        <w:top w:val="none" w:sz="0" w:space="0" w:color="auto"/>
                        <w:left w:val="none" w:sz="0" w:space="0" w:color="auto"/>
                        <w:bottom w:val="none" w:sz="0" w:space="0" w:color="auto"/>
                        <w:right w:val="none" w:sz="0" w:space="0" w:color="auto"/>
                      </w:divBdr>
                    </w:div>
                    <w:div w:id="198665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images.theconversation.com/files/104915/original/image-20151208-32398-w3ck31.jpg?ixlib=rb-4.1.0&amp;q=45&amp;auto=format&amp;w=1000&amp;fit=clip" TargetMode="External"/><Relationship Id="rId18" Type="http://schemas.openxmlformats.org/officeDocument/2006/relationships/hyperlink" Target="https://www.flickr.com/photos/antoncino/11705191434/in/photolist-iQmaBq-azHfDg-63U9bT-dCJo2N-Lybbk-6M1Q7X-djYPjw-5EKBcc-4qVM2J-6M5Z75-9TjZy-7kSyVV-3caehp-7XQBmi-4TpAmJ-5SGK54-4FPVR9-71vnM5-X5tye-axMqeR-dme7cy-pjfLBu-4QjQis-5BKpQb-5MRfuo-8vRuXK-4uJiYF-71v82w-4xCaFc-dsJWHi-5nvy2U-4xEoNm-8LaVzb-4zdNZM-6XtHx7-6ZntEb-5zQQqc-5N8MQq-5TRBSR-5YKpU5-5BfgMc-7KYjLZ-7RABvN-4eKutu-9E7MZS-5Jpptu-83GEXT-62YRyH-7kMpR-5izvmC" TargetMode="External"/><Relationship Id="rId26" Type="http://schemas.openxmlformats.org/officeDocument/2006/relationships/hyperlink" Target="https://www.gov.uk/guidance/vat-exemption-and-partial-exemption" TargetMode="External"/><Relationship Id="rId3" Type="http://schemas.openxmlformats.org/officeDocument/2006/relationships/settings" Target="settings.xml"/><Relationship Id="rId21" Type="http://schemas.openxmlformats.org/officeDocument/2006/relationships/hyperlink" Target="http://ec.europa.eu/taxation_customs/resources/documents/taxation/vat/how_vat_works/rates/vat_rates_en.pdf" TargetMode="External"/><Relationship Id="rId7" Type="http://schemas.openxmlformats.org/officeDocument/2006/relationships/hyperlink" Target="https://theconversation.com/profiles/carl-emmerson-173527" TargetMode="External"/><Relationship Id="rId12" Type="http://schemas.openxmlformats.org/officeDocument/2006/relationships/hyperlink" Target="http://www.irisheconomy.ie/Crisis/KellyCrisis.pdf" TargetMode="External"/><Relationship Id="rId17" Type="http://schemas.openxmlformats.org/officeDocument/2006/relationships/image" Target="media/image5.jpeg"/><Relationship Id="rId25" Type="http://schemas.openxmlformats.org/officeDocument/2006/relationships/hyperlink" Target="http://www.revenue.ie/en/tax/vat/rates/current-historic-rates-vat.html" TargetMode="External"/><Relationship Id="rId2" Type="http://schemas.openxmlformats.org/officeDocument/2006/relationships/styles" Target="styles.xml"/><Relationship Id="rId16" Type="http://schemas.openxmlformats.org/officeDocument/2006/relationships/hyperlink" Target="https://images.theconversation.com/files/104961/original/image-20151208-4898-nlqt8g.jpg?ixlib=rb-4.1.0&amp;q=45&amp;auto=format&amp;w=1000&amp;fit=clip" TargetMode="External"/><Relationship Id="rId20" Type="http://schemas.openxmlformats.org/officeDocument/2006/relationships/hyperlink" Target="http://www.bbc.co.uk/news/uk-politics-34790102"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bbc.co.uk/news/business-17549970" TargetMode="External"/><Relationship Id="rId24" Type="http://schemas.openxmlformats.org/officeDocument/2006/relationships/hyperlink" Target="http://taxsummaries.pwc.com/uk/taxsummaries/wwts.nsf/ID/France-Corporate-Tax-credits-and-incentives" TargetMode="External"/><Relationship Id="rId5" Type="http://schemas.openxmlformats.org/officeDocument/2006/relationships/hyperlink" Target="https://theconversation.com/profiles/gemma-tetlow-211545" TargetMode="External"/><Relationship Id="rId15" Type="http://schemas.openxmlformats.org/officeDocument/2006/relationships/hyperlink" Target="http://www.theguardian.com/world/2014/dec/31/france-drops-75percent-supertax" TargetMode="External"/><Relationship Id="rId23" Type="http://schemas.openxmlformats.org/officeDocument/2006/relationships/hyperlink" Target="https://theconversation.com/is-britain-sleepwalking-towards-life-as-a-lopsided-state-41922" TargetMode="External"/><Relationship Id="rId28" Type="http://schemas.openxmlformats.org/officeDocument/2006/relationships/theme" Target="theme/theme1.xml"/><Relationship Id="rId10" Type="http://schemas.openxmlformats.org/officeDocument/2006/relationships/hyperlink" Target="http://www.ifs.org.uk/publications/8081" TargetMode="External"/><Relationship Id="rId19" Type="http://schemas.openxmlformats.org/officeDocument/2006/relationships/hyperlink" Target="http://creativecommons.org/licenses/by-nc-nd/4.0/"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jpeg"/><Relationship Id="rId22" Type="http://schemas.openxmlformats.org/officeDocument/2006/relationships/hyperlink" Target="https://home.kpmg.com/xx/en/home/services/tax/tax-tools-and-resources/tax-rates-online/corporate-tax-rates-table.html"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1411</Words>
  <Characters>7766</Characters>
  <Application>Microsoft Office Word</Application>
  <DocSecurity>0</DocSecurity>
  <Lines>64</Lines>
  <Paragraphs>18</Paragraphs>
  <ScaleCrop>false</ScaleCrop>
  <Company/>
  <LinksUpToDate>false</LinksUpToDate>
  <CharactersWithSpaces>9159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2024-09-27T08:22:00Z</dcterms:created>
  <dcterms:modified xsi:type="dcterms:W3CDTF">2024-09-27T11:46:00Z</dcterms:modified>
</cp:coreProperties>
</file>